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9BE15" w14:textId="77777777" w:rsidR="00B23872" w:rsidRPr="008E3305" w:rsidRDefault="00B23872" w:rsidP="008717A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300DFA88" w14:textId="584A1E67" w:rsidR="00B23872" w:rsidRPr="008E3305" w:rsidRDefault="00104D09" w:rsidP="00E8190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C96C9" wp14:editId="467381D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629400" cy="0"/>
                <wp:effectExtent l="25400" t="2540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8.95pt" to="513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" strokeweight="3pt"/>
            </w:pict>
          </mc:Fallback>
        </mc:AlternateContent>
      </w:r>
      <w:r w:rsidR="006927FF" w:rsidRPr="006927FF">
        <w:rPr>
          <w:rFonts w:ascii="Times New Roman" w:hAnsi="Times New Roman"/>
          <w:b/>
        </w:rPr>
        <w:t xml:space="preserve"> NALOXONE PROTOCOL</w:t>
      </w:r>
    </w:p>
    <w:p w14:paraId="2350F126" w14:textId="77777777" w:rsidR="00B23872" w:rsidRPr="008E3305" w:rsidRDefault="006927FF" w:rsidP="00E8190A">
      <w:pPr>
        <w:spacing w:after="0"/>
        <w:jc w:val="center"/>
        <w:rPr>
          <w:rFonts w:ascii="Times New Roman" w:hAnsi="Times New Roman"/>
          <w:b/>
        </w:rPr>
      </w:pPr>
      <w:r w:rsidRPr="006927FF">
        <w:rPr>
          <w:rFonts w:ascii="Times New Roman" w:hAnsi="Times New Roman"/>
          <w:b/>
        </w:rPr>
        <w:t>A COLLABORATIVE PRACTICE AGREEMENT FOR OPIOID OVERDOSE PREVENTION AND RESPONSE</w:t>
      </w:r>
    </w:p>
    <w:p w14:paraId="73400C0E" w14:textId="29AD030B" w:rsidR="00B23872" w:rsidRPr="008E3305" w:rsidRDefault="00104D09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19EF2" wp14:editId="7207A0B4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629400" cy="0"/>
                <wp:effectExtent l="25400" t="24130" r="38100" b="393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.9pt" to="513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" strokeweight="3pt"/>
            </w:pict>
          </mc:Fallback>
        </mc:AlternateContent>
      </w:r>
    </w:p>
    <w:p w14:paraId="7B1B5956" w14:textId="77777777" w:rsidR="00B23872" w:rsidRPr="008E3305" w:rsidRDefault="006927FF" w:rsidP="00E8190A">
      <w:pPr>
        <w:tabs>
          <w:tab w:val="left" w:pos="1044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</w:rPr>
      </w:pPr>
      <w:r w:rsidRPr="006927FF">
        <w:rPr>
          <w:rFonts w:ascii="Times New Roman" w:hAnsi="Times New Roman"/>
          <w:b/>
          <w:bCs/>
        </w:rPr>
        <w:t xml:space="preserve">Purpose:  </w:t>
      </w:r>
      <w:r w:rsidRPr="006927FF">
        <w:rPr>
          <w:rFonts w:ascii="Times New Roman" w:hAnsi="Times New Roman"/>
        </w:rPr>
        <w:t>To reduce morbidity and mortality from opioid overdose.</w:t>
      </w:r>
    </w:p>
    <w:p w14:paraId="633F39F1" w14:textId="77777777" w:rsidR="008E3305" w:rsidRDefault="008E3305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B9EBC94" w14:textId="77777777" w:rsidR="00B23872" w:rsidRPr="008E3305" w:rsidRDefault="006927FF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  <w:b/>
          <w:bCs/>
        </w:rPr>
        <w:t xml:space="preserve">Policy: </w:t>
      </w:r>
      <w:r w:rsidRPr="006927FF">
        <w:rPr>
          <w:rFonts w:ascii="Times New Roman" w:hAnsi="Times New Roman"/>
        </w:rPr>
        <w:t>Under this collaborative practice agreement, eligible pharmacists who have completed certificate training program i</w:t>
      </w:r>
      <w:r w:rsidR="00BC463E">
        <w:rPr>
          <w:rFonts w:ascii="Times New Roman" w:hAnsi="Times New Roman"/>
        </w:rPr>
        <w:t>n opioid overdose prevention (C</w:t>
      </w:r>
      <w:r w:rsidRPr="006927FF">
        <w:rPr>
          <w:rFonts w:ascii="Times New Roman" w:hAnsi="Times New Roman"/>
        </w:rPr>
        <w:t xml:space="preserve">E program) and are CPR certified, may initiate naloxone and educate patients based on the criteria below. </w:t>
      </w:r>
    </w:p>
    <w:p w14:paraId="63B52E10" w14:textId="77777777" w:rsidR="008E3305" w:rsidRDefault="008E3305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8B513C6" w14:textId="77777777" w:rsidR="00BC463E" w:rsidRDefault="00BC463E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Continuing Education (CE) </w:t>
      </w:r>
      <w:r>
        <w:rPr>
          <w:rFonts w:ascii="Times New Roman" w:hAnsi="Times New Roman"/>
          <w:bCs/>
        </w:rPr>
        <w:t>in the area of practice covered by the agreement may include any of the following areas related to the safe prescribing of opioids:</w:t>
      </w:r>
    </w:p>
    <w:p w14:paraId="15C4655B" w14:textId="77777777" w:rsidR="00BC463E" w:rsidRDefault="00BC463E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Opioid overdose prevention</w:t>
      </w:r>
    </w:p>
    <w:p w14:paraId="2A71000B" w14:textId="77777777" w:rsidR="00BC463E" w:rsidRDefault="00BC463E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Reducing the risk of prescription opioid abuse</w:t>
      </w:r>
    </w:p>
    <w:p w14:paraId="4C1B7160" w14:textId="77777777" w:rsidR="00BC463E" w:rsidRDefault="00BC463E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safe use of opioids for the management of chronic pain</w:t>
      </w:r>
    </w:p>
    <w:p w14:paraId="53D93F5F" w14:textId="77777777" w:rsidR="00BC463E" w:rsidRDefault="00BC463E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use of screening tools to detect opioid abuse or dependency, specialist referrals and management of difficult patients</w:t>
      </w:r>
    </w:p>
    <w:p w14:paraId="50611500" w14:textId="77777777" w:rsidR="00BC463E" w:rsidRDefault="00BC463E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Preventing diversion of prescribed opioid medications</w:t>
      </w:r>
    </w:p>
    <w:p w14:paraId="376F73A6" w14:textId="77777777" w:rsidR="00BC463E" w:rsidRDefault="00BC463E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Treating patients with pain and addiction</w:t>
      </w:r>
    </w:p>
    <w:p w14:paraId="49B46831" w14:textId="77777777" w:rsidR="00BC463E" w:rsidRDefault="00BC463E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Naloxone administration technique</w:t>
      </w:r>
    </w:p>
    <w:p w14:paraId="290E052E" w14:textId="77777777" w:rsidR="00BC463E" w:rsidRPr="00BC463E" w:rsidRDefault="00BC463E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Review of collaborative practice agreement</w:t>
      </w:r>
    </w:p>
    <w:p w14:paraId="2ED355CE" w14:textId="77777777" w:rsidR="00BC463E" w:rsidRDefault="00BC463E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C8F7B07" w14:textId="77777777" w:rsidR="00B23872" w:rsidRPr="008E3305" w:rsidRDefault="006927FF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927FF">
        <w:rPr>
          <w:rFonts w:ascii="Times New Roman" w:hAnsi="Times New Roman"/>
          <w:b/>
          <w:bCs/>
        </w:rPr>
        <w:t>Procedure:</w:t>
      </w:r>
    </w:p>
    <w:p w14:paraId="276FA86A" w14:textId="267545EF" w:rsidR="00B23872" w:rsidRDefault="00C675A3" w:rsidP="00E819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6927FF" w:rsidRPr="00686C26">
        <w:rPr>
          <w:rFonts w:ascii="Times New Roman" w:hAnsi="Times New Roman"/>
          <w:b/>
        </w:rPr>
        <w:t>harmacists</w:t>
      </w:r>
      <w:r>
        <w:rPr>
          <w:rFonts w:ascii="Times New Roman" w:hAnsi="Times New Roman"/>
          <w:b/>
        </w:rPr>
        <w:t xml:space="preserve"> listed below</w:t>
      </w:r>
      <w:r w:rsidR="006927FF" w:rsidRPr="006927FF">
        <w:rPr>
          <w:rFonts w:ascii="Times New Roman" w:hAnsi="Times New Roman"/>
        </w:rPr>
        <w:t xml:space="preserve"> will identify patients eligible for participation, meet</w:t>
      </w:r>
      <w:r>
        <w:rPr>
          <w:rFonts w:ascii="Times New Roman" w:hAnsi="Times New Roman"/>
        </w:rPr>
        <w:t>ing any of the criteria of overd</w:t>
      </w:r>
      <w:r w:rsidR="006927FF" w:rsidRPr="006927FF">
        <w:rPr>
          <w:rFonts w:ascii="Times New Roman" w:hAnsi="Times New Roman"/>
        </w:rPr>
        <w:t>ose risk:</w:t>
      </w:r>
    </w:p>
    <w:p w14:paraId="019CC181" w14:textId="77777777" w:rsidR="00BC463E" w:rsidRPr="008E3305" w:rsidRDefault="00BC463E" w:rsidP="00BC463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Voluntary request</w:t>
      </w:r>
    </w:p>
    <w:p w14:paraId="75B820EA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Recipient of emergency medical care for acute opioid poisoning</w:t>
      </w:r>
    </w:p>
    <w:p w14:paraId="33D3B3E9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Suspected ill</w:t>
      </w:r>
      <w:r w:rsidR="00BC463E">
        <w:rPr>
          <w:rFonts w:ascii="Times New Roman" w:hAnsi="Times New Roman"/>
        </w:rPr>
        <w:t>icit or nonmedical opioid user</w:t>
      </w:r>
    </w:p>
    <w:p w14:paraId="5BA9BD3F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High dose opioid prescription (&gt;100 morphine equivalence per day)</w:t>
      </w:r>
    </w:p>
    <w:p w14:paraId="19CDFE4B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Any methadone prescription to opioid naïve patient</w:t>
      </w:r>
    </w:p>
    <w:p w14:paraId="0EA14603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Any opioid prescription and smoking/COPD or other respiratory illness or obstruction</w:t>
      </w:r>
    </w:p>
    <w:p w14:paraId="5C078E7F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Any opioid prescription for patients with renal dysfunction or hepatic disease</w:t>
      </w:r>
    </w:p>
    <w:p w14:paraId="28F27AD3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Any opioid prescription and known or suspected concurrent alcohol use</w:t>
      </w:r>
    </w:p>
    <w:p w14:paraId="795EBE93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Any opioid prescription and concurrent benzodiazepine prescription</w:t>
      </w:r>
    </w:p>
    <w:p w14:paraId="42C20A02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Any opioid prescription and concurrent SSRI or TCA anti-depressant prescription</w:t>
      </w:r>
    </w:p>
    <w:p w14:paraId="2906CB44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Release prisoners from correctional facilities</w:t>
      </w:r>
    </w:p>
    <w:p w14:paraId="04B0AFB2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Release from opioid detoxification and mandatory abstinence program</w:t>
      </w:r>
    </w:p>
    <w:p w14:paraId="0950F7CA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Patients entering methadone maintenance treatment programs (for addition or pain)</w:t>
      </w:r>
    </w:p>
    <w:p w14:paraId="023EB5BC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Patients may have difficulty accessing emergency medical services</w:t>
      </w:r>
    </w:p>
    <w:p w14:paraId="3ACEAD5C" w14:textId="77777777" w:rsidR="00B23872" w:rsidRPr="008E3305" w:rsidRDefault="00B23872" w:rsidP="00BC463E">
      <w:pPr>
        <w:pStyle w:val="ListParagraph"/>
        <w:spacing w:after="0" w:line="240" w:lineRule="auto"/>
        <w:rPr>
          <w:rFonts w:ascii="Times New Roman" w:hAnsi="Times New Roman"/>
        </w:rPr>
      </w:pPr>
    </w:p>
    <w:p w14:paraId="25DD87E1" w14:textId="77777777" w:rsidR="00B23872" w:rsidRPr="008E3305" w:rsidRDefault="006927FF" w:rsidP="00E819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Pharmacists will be allowed to initiate naloxone prescriptions if patient meets criteria above:</w:t>
      </w:r>
    </w:p>
    <w:p w14:paraId="3EB28AF8" w14:textId="77777777" w:rsidR="00B4512C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 xml:space="preserve">Naloxone </w:t>
      </w:r>
      <w:proofErr w:type="spellStart"/>
      <w:r w:rsidRPr="006927FF">
        <w:rPr>
          <w:rFonts w:ascii="Times New Roman" w:hAnsi="Times New Roman"/>
        </w:rPr>
        <w:t>HCl</w:t>
      </w:r>
      <w:proofErr w:type="spellEnd"/>
      <w:r w:rsidRPr="006927FF">
        <w:rPr>
          <w:rFonts w:ascii="Times New Roman" w:hAnsi="Times New Roman"/>
        </w:rPr>
        <w:t xml:space="preserve"> (</w:t>
      </w:r>
      <w:proofErr w:type="spellStart"/>
      <w:r w:rsidRPr="006927FF">
        <w:rPr>
          <w:rFonts w:ascii="Times New Roman" w:hAnsi="Times New Roman"/>
        </w:rPr>
        <w:t>Narcan</w:t>
      </w:r>
      <w:proofErr w:type="spellEnd"/>
      <w:r w:rsidRPr="006927FF">
        <w:rPr>
          <w:rFonts w:ascii="Times New Roman" w:hAnsi="Times New Roman"/>
        </w:rPr>
        <w:t>® or generic equivalent) will be dispensed for intramuscular administration (standard naloxone concentration of 0.4mg/mL)</w:t>
      </w:r>
      <w:r w:rsidR="008E3305">
        <w:rPr>
          <w:rFonts w:ascii="Times New Roman" w:hAnsi="Times New Roman"/>
        </w:rPr>
        <w:t xml:space="preserve">.  </w:t>
      </w:r>
    </w:p>
    <w:p w14:paraId="628A29D4" w14:textId="2311868A" w:rsidR="006927FF" w:rsidRDefault="008E3305" w:rsidP="006927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prefe</w:t>
      </w:r>
      <w:r w:rsidR="00EC4D4B">
        <w:rPr>
          <w:rFonts w:ascii="Times New Roman" w:hAnsi="Times New Roman"/>
        </w:rPr>
        <w:t xml:space="preserve">rred container type is </w:t>
      </w:r>
      <w:r>
        <w:rPr>
          <w:rFonts w:ascii="Times New Roman" w:hAnsi="Times New Roman"/>
        </w:rPr>
        <w:t>1mL single dose flip-top vial</w:t>
      </w:r>
      <w:r w:rsidR="003F295D">
        <w:rPr>
          <w:rFonts w:ascii="Times New Roman" w:hAnsi="Times New Roman"/>
        </w:rPr>
        <w:t>s</w:t>
      </w:r>
      <w:r w:rsidR="00EC4D4B">
        <w:rPr>
          <w:rFonts w:ascii="Times New Roman" w:hAnsi="Times New Roman"/>
        </w:rPr>
        <w:t>, but 10mL multi-dose flip-top vial</w:t>
      </w:r>
      <w:r w:rsidR="003F295D">
        <w:rPr>
          <w:rFonts w:ascii="Times New Roman" w:hAnsi="Times New Roman"/>
        </w:rPr>
        <w:t xml:space="preserve">, </w:t>
      </w:r>
      <w:r w:rsidR="00B4512C">
        <w:rPr>
          <w:rFonts w:ascii="Times New Roman" w:hAnsi="Times New Roman"/>
        </w:rPr>
        <w:t xml:space="preserve">or </w:t>
      </w:r>
      <w:r w:rsidR="00E25469">
        <w:rPr>
          <w:rFonts w:ascii="Times New Roman" w:hAnsi="Times New Roman"/>
        </w:rPr>
        <w:t>2</w:t>
      </w:r>
      <w:r w:rsidR="00B4512C">
        <w:rPr>
          <w:rFonts w:ascii="Times New Roman" w:hAnsi="Times New Roman"/>
        </w:rPr>
        <w:t xml:space="preserve">mL </w:t>
      </w:r>
      <w:proofErr w:type="spellStart"/>
      <w:r w:rsidR="00B4512C">
        <w:rPr>
          <w:rFonts w:ascii="Times New Roman" w:hAnsi="Times New Roman"/>
        </w:rPr>
        <w:t>Carpujet</w:t>
      </w:r>
      <w:proofErr w:type="spellEnd"/>
      <w:r w:rsidR="00B4512C">
        <w:rPr>
          <w:rFonts w:ascii="Times New Roman" w:hAnsi="Times New Roman"/>
        </w:rPr>
        <w:t xml:space="preserve"> </w:t>
      </w:r>
      <w:proofErr w:type="spellStart"/>
      <w:r w:rsidR="00B4512C">
        <w:rPr>
          <w:rFonts w:ascii="Times New Roman" w:hAnsi="Times New Roman"/>
        </w:rPr>
        <w:t>Luer</w:t>
      </w:r>
      <w:proofErr w:type="spellEnd"/>
      <w:r w:rsidR="00B4512C">
        <w:rPr>
          <w:rFonts w:ascii="Times New Roman" w:hAnsi="Times New Roman"/>
        </w:rPr>
        <w:t xml:space="preserve"> Lock glass syringes </w:t>
      </w:r>
      <w:r w:rsidR="00EC4D4B">
        <w:rPr>
          <w:rFonts w:ascii="Times New Roman" w:hAnsi="Times New Roman"/>
        </w:rPr>
        <w:t xml:space="preserve">without needles </w:t>
      </w:r>
      <w:r w:rsidR="00B4512C">
        <w:rPr>
          <w:rFonts w:ascii="Times New Roman" w:hAnsi="Times New Roman"/>
        </w:rPr>
        <w:t xml:space="preserve">may also be dispensed.  </w:t>
      </w:r>
      <w:r>
        <w:rPr>
          <w:rFonts w:ascii="Times New Roman" w:hAnsi="Times New Roman"/>
        </w:rPr>
        <w:t xml:space="preserve"> </w:t>
      </w:r>
    </w:p>
    <w:p w14:paraId="69738CC5" w14:textId="25448936" w:rsidR="006927FF" w:rsidRDefault="00B4512C" w:rsidP="006927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1mL vials or </w:t>
      </w:r>
      <w:proofErr w:type="spellStart"/>
      <w:r>
        <w:rPr>
          <w:rFonts w:ascii="Times New Roman" w:hAnsi="Times New Roman"/>
        </w:rPr>
        <w:t>Carpujet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Luer</w:t>
      </w:r>
      <w:proofErr w:type="spellEnd"/>
      <w:r>
        <w:rPr>
          <w:rFonts w:ascii="Times New Roman" w:hAnsi="Times New Roman"/>
        </w:rPr>
        <w:t xml:space="preserve"> Lock syringes are dispensed, the patient should receive a total of at least </w:t>
      </w:r>
      <w:r w:rsidR="00EC4D4B">
        <w:rPr>
          <w:rFonts w:ascii="Times New Roman" w:hAnsi="Times New Roman"/>
        </w:rPr>
        <w:t xml:space="preserve">2mL, strongly recommend a total of 4 </w:t>
      </w:r>
      <w:proofErr w:type="spellStart"/>
      <w:r w:rsidR="00EC4D4B">
        <w:rPr>
          <w:rFonts w:ascii="Times New Roman" w:hAnsi="Times New Roman"/>
        </w:rPr>
        <w:t>mL.</w:t>
      </w:r>
      <w:proofErr w:type="spellEnd"/>
      <w:r w:rsidR="00EC4D4B">
        <w:rPr>
          <w:rFonts w:ascii="Times New Roman" w:hAnsi="Times New Roman"/>
        </w:rPr>
        <w:t xml:space="preserve"> </w:t>
      </w:r>
    </w:p>
    <w:p w14:paraId="10EC4AD8" w14:textId="77777777" w:rsidR="006927FF" w:rsidRPr="006927FF" w:rsidRDefault="00B4512C" w:rsidP="006927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total amount of naloxone dispensed per patient is not to exceed 10mL.</w:t>
      </w:r>
    </w:p>
    <w:p w14:paraId="53FFFBD0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lastRenderedPageBreak/>
        <w:t>The recommended dose of Naloxone to be used in the event of an overdose is 1-3mL, administered in increments of 1mL</w:t>
      </w:r>
    </w:p>
    <w:p w14:paraId="1E6C2F02" w14:textId="77777777"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Naloxone must have a shelf life of at least 12 months at time of dispensing</w:t>
      </w:r>
    </w:p>
    <w:p w14:paraId="37542E67" w14:textId="3FC0906D" w:rsidR="00B23872" w:rsidRPr="008E3305" w:rsidRDefault="005F3BED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least </w:t>
      </w:r>
      <w:r w:rsidR="00EC4D4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6927FF" w:rsidRPr="006927FF">
        <w:rPr>
          <w:rFonts w:ascii="Times New Roman" w:hAnsi="Times New Roman"/>
        </w:rPr>
        <w:t>IM syringes</w:t>
      </w:r>
      <w:r w:rsidR="00EC4D4B">
        <w:rPr>
          <w:rFonts w:ascii="Times New Roman" w:hAnsi="Times New Roman"/>
        </w:rPr>
        <w:t xml:space="preserve"> (recommended 4)</w:t>
      </w:r>
      <w:r w:rsidR="006927FF" w:rsidRPr="006927FF">
        <w:rPr>
          <w:rFonts w:ascii="Times New Roman" w:hAnsi="Times New Roman"/>
        </w:rPr>
        <w:t xml:space="preserve"> must be sold with naloxone for intramuscular administration</w:t>
      </w:r>
    </w:p>
    <w:p w14:paraId="3384F49E" w14:textId="77777777" w:rsidR="006927FF" w:rsidRPr="006927FF" w:rsidRDefault="006927FF" w:rsidP="006927F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Syringes will be equipped with a 1-1.5”, 21-23 gauge needle, with a syringe capacity of 1-3mL</w:t>
      </w:r>
    </w:p>
    <w:p w14:paraId="0EA92B04" w14:textId="77777777" w:rsidR="00E25469" w:rsidRDefault="00E25469" w:rsidP="0099130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At least 1 MAD Nasal Drug Delivery Device must be sold with naloxone for intranasal administration</w:t>
      </w:r>
    </w:p>
    <w:p w14:paraId="0AE3F539" w14:textId="77777777" w:rsidR="00BC463E" w:rsidRDefault="006927FF" w:rsidP="00BC463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Before dispensing naloxo</w:t>
      </w:r>
      <w:r w:rsidR="00BC463E">
        <w:rPr>
          <w:rFonts w:ascii="Times New Roman" w:hAnsi="Times New Roman"/>
          <w:color w:val="000000"/>
        </w:rPr>
        <w:t xml:space="preserve">ne, the pharmacist shall </w:t>
      </w:r>
      <w:r w:rsidRPr="00BC463E">
        <w:rPr>
          <w:rFonts w:ascii="Times New Roman" w:hAnsi="Times New Roman"/>
          <w:color w:val="000000"/>
        </w:rPr>
        <w:t>ensure that patients are properly trained in over opioid overdose recognition, response, and naloxone administra</w:t>
      </w:r>
      <w:r w:rsidR="00BC463E">
        <w:rPr>
          <w:rFonts w:ascii="Times New Roman" w:hAnsi="Times New Roman"/>
          <w:color w:val="000000"/>
        </w:rPr>
        <w:t>tion</w:t>
      </w:r>
    </w:p>
    <w:p w14:paraId="66434B18" w14:textId="77777777" w:rsidR="00B23872" w:rsidRPr="008E3305" w:rsidRDefault="00BC463E" w:rsidP="00BC463E">
      <w:pPr>
        <w:spacing w:after="0" w:line="240" w:lineRule="auto"/>
        <w:ind w:left="1440"/>
        <w:rPr>
          <w:rFonts w:ascii="Times New Roman" w:hAnsi="Times New Roman"/>
          <w:color w:val="000000"/>
        </w:rPr>
      </w:pPr>
      <w:r w:rsidRPr="008E3305">
        <w:rPr>
          <w:rFonts w:ascii="Times New Roman" w:hAnsi="Times New Roman"/>
          <w:color w:val="000000"/>
        </w:rPr>
        <w:t xml:space="preserve"> </w:t>
      </w:r>
    </w:p>
    <w:p w14:paraId="3EA4CB2F" w14:textId="77777777" w:rsidR="00B23872" w:rsidRPr="008E3305" w:rsidRDefault="006927FF" w:rsidP="00E819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927FF">
        <w:rPr>
          <w:rFonts w:ascii="Times New Roman" w:hAnsi="Times New Roman"/>
          <w:bCs/>
        </w:rPr>
        <w:t>Pharmacists will provide patient education on the following:</w:t>
      </w:r>
    </w:p>
    <w:p w14:paraId="5313A064" w14:textId="77777777" w:rsidR="00B23872" w:rsidRPr="008E3305" w:rsidRDefault="006927FF" w:rsidP="009065E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Purpose for Naloxone, correct way to administer Naloxone, precautions regarding medications that may interact with Naloxone.</w:t>
      </w:r>
    </w:p>
    <w:p w14:paraId="32FCFFC2" w14:textId="77777777" w:rsidR="00B23872" w:rsidRPr="008E3305" w:rsidRDefault="006927FF" w:rsidP="009065E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High-risk overdose situations, risk reduction strategies, and appropriate response sets in addition to Naloxone administration, including rescue breathing and call 911.</w:t>
      </w:r>
    </w:p>
    <w:p w14:paraId="2EEC90BE" w14:textId="77777777" w:rsidR="00B23872" w:rsidRPr="008E3305" w:rsidRDefault="006927FF" w:rsidP="009065E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Review indications for use and naloxone administration upon re-fill</w:t>
      </w:r>
    </w:p>
    <w:p w14:paraId="447985A4" w14:textId="77777777" w:rsidR="00B23872" w:rsidRPr="008E3305" w:rsidRDefault="00B23872" w:rsidP="00991309">
      <w:pPr>
        <w:spacing w:after="0" w:line="240" w:lineRule="auto"/>
        <w:ind w:left="1440"/>
        <w:rPr>
          <w:rFonts w:ascii="Times New Roman" w:hAnsi="Times New Roman"/>
          <w:color w:val="000000"/>
        </w:rPr>
      </w:pPr>
    </w:p>
    <w:p w14:paraId="0508BC66" w14:textId="77777777" w:rsidR="00B23872" w:rsidRPr="008E3305" w:rsidRDefault="006927FF" w:rsidP="00E819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927FF">
        <w:rPr>
          <w:rFonts w:ascii="Times New Roman" w:hAnsi="Times New Roman"/>
        </w:rPr>
        <w:t>Pharmacists will document each patient’s participation information by the following:</w:t>
      </w:r>
    </w:p>
    <w:p w14:paraId="3B304409" w14:textId="77777777" w:rsidR="00B23872" w:rsidRPr="008E3305" w:rsidRDefault="006927FF" w:rsidP="009065E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927FF">
        <w:rPr>
          <w:rFonts w:ascii="Times New Roman" w:hAnsi="Times New Roman"/>
        </w:rPr>
        <w:t xml:space="preserve">Record the date the prescription was dispensed, the manufacturer and lot number, and the name and title of the person providing mediation and education. </w:t>
      </w:r>
    </w:p>
    <w:p w14:paraId="45AEE2D6" w14:textId="77777777" w:rsidR="00B23872" w:rsidRPr="008E3305" w:rsidRDefault="006927FF" w:rsidP="00E8190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927FF">
        <w:rPr>
          <w:rFonts w:ascii="Times New Roman" w:hAnsi="Times New Roman"/>
        </w:rPr>
        <w:t>The pharmacist shall provide written notification via fax to medical provider listed on collaborative agreement of patient participation and/or naloxone dispensing within seven (7) days and will maintain records for a minimum or 5 years.</w:t>
      </w:r>
    </w:p>
    <w:p w14:paraId="61411637" w14:textId="77777777" w:rsidR="00B23872" w:rsidRPr="008E3305" w:rsidRDefault="006927FF" w:rsidP="009065E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Contact the medical provider listed on collaborative agreement in the event that the pharmacist requires medical consultation for a particular patient</w:t>
      </w:r>
    </w:p>
    <w:p w14:paraId="18FE1A18" w14:textId="77777777" w:rsidR="00B23872" w:rsidRPr="008E3305" w:rsidRDefault="006927FF" w:rsidP="0099130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</w:rPr>
        <w:t>The pharmacy will ret</w:t>
      </w:r>
      <w:r w:rsidR="00BC463E">
        <w:rPr>
          <w:rFonts w:ascii="Times New Roman" w:hAnsi="Times New Roman"/>
        </w:rPr>
        <w:t xml:space="preserve">ain a copy of the consent </w:t>
      </w:r>
      <w:proofErr w:type="gramStart"/>
      <w:r w:rsidR="00BC463E">
        <w:rPr>
          <w:rFonts w:ascii="Times New Roman" w:hAnsi="Times New Roman"/>
        </w:rPr>
        <w:t>form</w:t>
      </w:r>
      <w:r w:rsidRPr="006927FF">
        <w:rPr>
          <w:rFonts w:ascii="Times New Roman" w:hAnsi="Times New Roman"/>
        </w:rPr>
        <w:t>,</w:t>
      </w:r>
      <w:proofErr w:type="gramEnd"/>
      <w:r w:rsidRPr="006927FF">
        <w:rPr>
          <w:rFonts w:ascii="Times New Roman" w:hAnsi="Times New Roman"/>
        </w:rPr>
        <w:t xml:space="preserve"> re-fill form, and a log of monthly activity, which will be reviewed by OD program staff and the collaborating physician on a monthly basis.  </w:t>
      </w:r>
    </w:p>
    <w:p w14:paraId="673BC396" w14:textId="77777777" w:rsidR="00B23872" w:rsidRPr="008E3305" w:rsidRDefault="00B23872" w:rsidP="00991309">
      <w:pPr>
        <w:spacing w:after="0" w:line="240" w:lineRule="auto"/>
        <w:rPr>
          <w:rFonts w:ascii="Times New Roman" w:hAnsi="Times New Roman"/>
          <w:color w:val="000000"/>
        </w:rPr>
      </w:pPr>
    </w:p>
    <w:p w14:paraId="7ACB4C85" w14:textId="1685D6AB" w:rsidR="00B23872" w:rsidRPr="008E3305" w:rsidRDefault="006927FF" w:rsidP="009065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The collaborating medical provider may override a collaborative practice decision made by the pharmacist, if appropriate and/or in the best interest of the patient</w:t>
      </w:r>
      <w:r w:rsidR="008C677E">
        <w:rPr>
          <w:rFonts w:ascii="Times New Roman" w:hAnsi="Times New Roman"/>
          <w:color w:val="000000"/>
        </w:rPr>
        <w:t>.</w:t>
      </w:r>
    </w:p>
    <w:p w14:paraId="64439442" w14:textId="77777777" w:rsidR="00B23872" w:rsidRPr="008E3305" w:rsidRDefault="00B23872" w:rsidP="00E44268">
      <w:pPr>
        <w:spacing w:after="0" w:line="240" w:lineRule="auto"/>
        <w:ind w:left="720"/>
        <w:rPr>
          <w:rFonts w:ascii="Times New Roman" w:hAnsi="Times New Roman"/>
          <w:color w:val="000000"/>
        </w:rPr>
      </w:pPr>
    </w:p>
    <w:p w14:paraId="0F977285" w14:textId="28F59A26" w:rsidR="008C677E" w:rsidRDefault="006927FF" w:rsidP="009065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Both parties shall maintain a copy of licensing and liability insurance information in their respective records for both the pharmacist</w:t>
      </w:r>
      <w:r w:rsidR="008C677E">
        <w:rPr>
          <w:rFonts w:ascii="Times New Roman" w:hAnsi="Times New Roman"/>
          <w:color w:val="000000"/>
        </w:rPr>
        <w:t>s and physician named below.</w:t>
      </w:r>
    </w:p>
    <w:p w14:paraId="7127733A" w14:textId="77777777" w:rsidR="008C677E" w:rsidRPr="008C677E" w:rsidRDefault="008C677E" w:rsidP="008C677E">
      <w:pPr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6DB9567B" w14:textId="43E3E9C5" w:rsidR="008C677E" w:rsidRPr="008C677E" w:rsidRDefault="008C677E" w:rsidP="008C67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Either party may </w:t>
      </w:r>
      <w:r w:rsidRPr="008C677E">
        <w:rPr>
          <w:rFonts w:ascii="Times New Roman" w:hAnsi="Times New Roman"/>
          <w:color w:val="000000"/>
        </w:rPr>
        <w:t>cancel the agr</w:t>
      </w:r>
      <w:r>
        <w:rPr>
          <w:rFonts w:ascii="Times New Roman" w:hAnsi="Times New Roman"/>
          <w:color w:val="000000"/>
        </w:rPr>
        <w:t>eement by written notification.</w:t>
      </w:r>
    </w:p>
    <w:p w14:paraId="101EA9FF" w14:textId="77777777" w:rsidR="008C677E" w:rsidRDefault="008C677E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4D9674" w14:textId="77777777" w:rsidR="00B23872" w:rsidRPr="008E3305" w:rsidRDefault="006927FF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This policy and procedure shall remain in effect until rescinded or for 2 years after the effective date.</w:t>
      </w:r>
    </w:p>
    <w:p w14:paraId="7F91AF56" w14:textId="77777777" w:rsidR="00B23872" w:rsidRDefault="00B23872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247D13" w14:textId="3C9FFD48" w:rsidR="00686C26" w:rsidRDefault="003C52D6" w:rsidP="00686C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Effective d</w:t>
      </w:r>
      <w:r w:rsidR="00686C26" w:rsidRPr="006927FF">
        <w:rPr>
          <w:rFonts w:ascii="Times New Roman" w:hAnsi="Times New Roman"/>
        </w:rPr>
        <w:t>at</w:t>
      </w:r>
      <w:r w:rsidR="00686C26">
        <w:rPr>
          <w:rFonts w:ascii="Times New Roman" w:hAnsi="Times New Roman"/>
        </w:rPr>
        <w:t>e of implementation</w:t>
      </w:r>
      <w:proofErr w:type="gramStart"/>
      <w:r w:rsidR="00686C26">
        <w:rPr>
          <w:rFonts w:ascii="Times New Roman" w:hAnsi="Times New Roman"/>
        </w:rPr>
        <w:t>:_</w:t>
      </w:r>
      <w:proofErr w:type="gramEnd"/>
      <w:r w:rsidR="00686C26">
        <w:rPr>
          <w:rFonts w:ascii="Times New Roman" w:hAnsi="Times New Roman"/>
        </w:rPr>
        <w:t>__________</w:t>
      </w:r>
    </w:p>
    <w:p w14:paraId="47503C42" w14:textId="77777777" w:rsidR="00686C26" w:rsidRDefault="00686C26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DF3E95" w14:textId="716CE498" w:rsidR="00686C26" w:rsidRPr="008E3305" w:rsidRDefault="00686C26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Signatures:</w:t>
      </w:r>
    </w:p>
    <w:p w14:paraId="13007639" w14:textId="77777777" w:rsidR="00B23872" w:rsidRPr="008E3305" w:rsidRDefault="00B23872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C4257A" w14:textId="77777777" w:rsidR="00B23872" w:rsidRPr="008E3305" w:rsidRDefault="006927FF" w:rsidP="00991309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617C0C5D" w14:textId="6EF32E3D" w:rsidR="00686C26" w:rsidRPr="008E3305" w:rsidRDefault="006927FF" w:rsidP="00991309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 xml:space="preserve">    Physician or Medical Provider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Date</w:t>
      </w:r>
    </w:p>
    <w:p w14:paraId="798A9965" w14:textId="77777777" w:rsidR="00686C26" w:rsidRDefault="00686C26" w:rsidP="00991309">
      <w:pPr>
        <w:spacing w:after="0"/>
        <w:rPr>
          <w:rFonts w:ascii="Times New Roman" w:hAnsi="Times New Roman"/>
          <w:color w:val="000000"/>
        </w:rPr>
      </w:pPr>
    </w:p>
    <w:p w14:paraId="552BB366" w14:textId="77777777" w:rsidR="00686C26" w:rsidRDefault="00686C26" w:rsidP="00991309">
      <w:pPr>
        <w:spacing w:after="0"/>
        <w:rPr>
          <w:rFonts w:ascii="Times New Roman" w:hAnsi="Times New Roman"/>
          <w:color w:val="000000"/>
        </w:rPr>
      </w:pPr>
    </w:p>
    <w:p w14:paraId="088E25B4" w14:textId="77777777" w:rsidR="00686C26" w:rsidRDefault="00686C26" w:rsidP="00991309">
      <w:pPr>
        <w:spacing w:after="0"/>
        <w:rPr>
          <w:rFonts w:ascii="Times New Roman" w:hAnsi="Times New Roman"/>
          <w:color w:val="000000"/>
        </w:rPr>
      </w:pPr>
    </w:p>
    <w:p w14:paraId="0241CDEE" w14:textId="706E5B7A" w:rsidR="00686C26" w:rsidRPr="00C675A3" w:rsidRDefault="00686C26" w:rsidP="00991309">
      <w:pPr>
        <w:spacing w:after="0"/>
        <w:rPr>
          <w:rFonts w:ascii="Times New Roman" w:hAnsi="Times New Roman"/>
          <w:b/>
          <w:color w:val="000000"/>
        </w:rPr>
      </w:pPr>
      <w:r w:rsidRPr="00C675A3">
        <w:rPr>
          <w:rFonts w:ascii="Times New Roman" w:hAnsi="Times New Roman"/>
          <w:b/>
          <w:color w:val="000000"/>
        </w:rPr>
        <w:lastRenderedPageBreak/>
        <w:t xml:space="preserve">Pharmacist </w:t>
      </w:r>
      <w:r w:rsidR="00C675A3" w:rsidRPr="00C675A3">
        <w:rPr>
          <w:rFonts w:ascii="Times New Roman" w:hAnsi="Times New Roman"/>
          <w:b/>
          <w:color w:val="000000"/>
        </w:rPr>
        <w:t>Signatures</w:t>
      </w:r>
      <w:r w:rsidRPr="00C675A3">
        <w:rPr>
          <w:rFonts w:ascii="Times New Roman" w:hAnsi="Times New Roman"/>
          <w:b/>
          <w:color w:val="000000"/>
        </w:rPr>
        <w:t xml:space="preserve"> and Settings (Store Locations):</w:t>
      </w:r>
    </w:p>
    <w:p w14:paraId="3185C900" w14:textId="77777777" w:rsidR="00686C26" w:rsidRDefault="00686C26" w:rsidP="00991309">
      <w:pPr>
        <w:spacing w:after="0"/>
        <w:rPr>
          <w:rFonts w:ascii="Times New Roman" w:hAnsi="Times New Roman"/>
          <w:color w:val="000000"/>
        </w:rPr>
      </w:pPr>
    </w:p>
    <w:p w14:paraId="660E8BD3" w14:textId="77777777" w:rsidR="00B23872" w:rsidRPr="008E3305" w:rsidRDefault="006927FF" w:rsidP="00991309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5716F8FD" w14:textId="04051C9D" w:rsidR="00B23872" w:rsidRDefault="006927FF" w:rsidP="00991309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 w:rsidR="00780373">
        <w:rPr>
          <w:rFonts w:ascii="Times New Roman" w:hAnsi="Times New Roman"/>
          <w:color w:val="000000"/>
        </w:rPr>
        <w:t xml:space="preserve"> - Store Name</w:t>
      </w:r>
      <w:r w:rsidR="00686C26">
        <w:rPr>
          <w:rFonts w:ascii="Times New Roman" w:hAnsi="Times New Roman"/>
          <w:color w:val="000000"/>
        </w:rPr>
        <w:tab/>
      </w:r>
      <w:r w:rsidR="00780373">
        <w:rPr>
          <w:rFonts w:ascii="Times New Roman" w:hAnsi="Times New Roman"/>
          <w:color w:val="000000"/>
        </w:rPr>
        <w:tab/>
      </w:r>
      <w:r w:rsidR="00780373">
        <w:rPr>
          <w:rFonts w:ascii="Times New Roman" w:hAnsi="Times New Roman"/>
          <w:color w:val="000000"/>
        </w:rPr>
        <w:tab/>
      </w:r>
      <w:r w:rsidR="00780373">
        <w:rPr>
          <w:rFonts w:ascii="Times New Roman" w:hAnsi="Times New Roman"/>
          <w:color w:val="000000"/>
        </w:rPr>
        <w:tab/>
      </w:r>
      <w:r w:rsidR="00780373">
        <w:rPr>
          <w:rFonts w:ascii="Times New Roman" w:hAnsi="Times New Roman"/>
          <w:color w:val="000000"/>
        </w:rPr>
        <w:tab/>
      </w:r>
      <w:r w:rsidR="00780373">
        <w:rPr>
          <w:rFonts w:ascii="Times New Roman" w:hAnsi="Times New Roman"/>
          <w:color w:val="000000"/>
        </w:rPr>
        <w:tab/>
      </w:r>
      <w:r w:rsidR="00780373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31E2EC3A" w14:textId="77777777" w:rsidR="00686C26" w:rsidRPr="008E3305" w:rsidRDefault="00686C26" w:rsidP="00991309">
      <w:pPr>
        <w:spacing w:after="0"/>
        <w:rPr>
          <w:rFonts w:ascii="Times New Roman" w:hAnsi="Times New Roman"/>
          <w:color w:val="000000"/>
        </w:rPr>
      </w:pPr>
    </w:p>
    <w:p w14:paraId="506DD68B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39102A6C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3C383532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535D8F56" w14:textId="5C005AAA" w:rsidR="008C677E" w:rsidRDefault="00780373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 w:rsidR="008C677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C677E" w:rsidRPr="006927FF">
        <w:rPr>
          <w:rFonts w:ascii="Times New Roman" w:hAnsi="Times New Roman"/>
          <w:color w:val="000000"/>
        </w:rPr>
        <w:t>Date</w:t>
      </w:r>
    </w:p>
    <w:p w14:paraId="4750BDB8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7F8B0FC3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14E89677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39E118FD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5CAA1952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0E9E5F50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6CBB369C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652AE180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3919DBD1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049A3782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5B2ED061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2DFD0B21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5FA0CE6C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371BF27B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2B502C1A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0DD1DB7A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46DD937D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3D6FF6C8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0B5B1E5E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70A86BB3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7E6C4A0B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1B619504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099E683D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1D119EF7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0838B29C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14A981D7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45E6DFF5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452AA573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101A18C1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0228B277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75987E77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76389DC1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7508DF22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70651C73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3AD0DC00" w14:textId="05A55FC6" w:rsidR="008C677E" w:rsidRPr="008E3305" w:rsidRDefault="00780373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7994C1A4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5AD5A205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50B573F4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3457D9B7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76210B57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6CBCFEB1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2983B055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3C10733D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29481075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4E089FC5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3BE6287A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07AB96FB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5CCBD9AC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4CAC1D36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78F2627D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05B95AB6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32D9B0FD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6467AE94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01E9901D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5E3AE42B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1450205D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60F641FC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624E5535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784A66CC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7BB09075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3FA2E033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667FDC91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523D90EC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59569E24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1CB87E92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6CDC7A95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61579446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77E01BDD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14:paraId="6AFDA98F" w14:textId="77777777" w:rsidR="00780373" w:rsidRDefault="00780373" w:rsidP="00780373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Pharmacist</w:t>
      </w:r>
      <w:r>
        <w:rPr>
          <w:rFonts w:ascii="Times New Roman" w:hAnsi="Times New Roman"/>
          <w:color w:val="000000"/>
        </w:rPr>
        <w:t xml:space="preserve"> - Store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>Date</w:t>
      </w:r>
    </w:p>
    <w:p w14:paraId="0C9A3654" w14:textId="77777777" w:rsidR="008C677E" w:rsidRPr="008E3305" w:rsidRDefault="008C677E" w:rsidP="008C677E">
      <w:pPr>
        <w:spacing w:after="0"/>
        <w:rPr>
          <w:rFonts w:ascii="Times New Roman" w:hAnsi="Times New Roman"/>
          <w:color w:val="000000"/>
        </w:rPr>
      </w:pPr>
    </w:p>
    <w:p w14:paraId="1322ED64" w14:textId="77777777" w:rsidR="008C677E" w:rsidRDefault="008C677E" w:rsidP="008C67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City_____________________</w:t>
      </w:r>
    </w:p>
    <w:p w14:paraId="66172A9D" w14:textId="77777777" w:rsidR="00B23872" w:rsidRPr="008E3305" w:rsidRDefault="00B23872" w:rsidP="00991309">
      <w:pPr>
        <w:spacing w:after="0"/>
        <w:rPr>
          <w:rFonts w:ascii="Times New Roman" w:hAnsi="Times New Roman"/>
        </w:rPr>
      </w:pPr>
    </w:p>
    <w:p w14:paraId="3900D6C8" w14:textId="51C5681B" w:rsidR="00B23872" w:rsidRPr="008E3305" w:rsidRDefault="006927FF" w:rsidP="00F03D5F">
      <w:pPr>
        <w:spacing w:after="0"/>
        <w:rPr>
          <w:rFonts w:ascii="Times New Roman" w:hAnsi="Times New Roman"/>
        </w:rPr>
      </w:pPr>
      <w:r w:rsidRPr="006927FF">
        <w:rPr>
          <w:rFonts w:ascii="Times New Roman" w:hAnsi="Times New Roman"/>
          <w:i/>
        </w:rPr>
        <w:t xml:space="preserve">Proof of liability insurance will be included for above signatories in the appendix to this document.  </w:t>
      </w:r>
    </w:p>
    <w:sectPr w:rsidR="00B23872" w:rsidRPr="008E3305" w:rsidSect="006E1F2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9895" w14:textId="77777777" w:rsidR="005E57CE" w:rsidRDefault="005E57CE" w:rsidP="00686C26">
      <w:pPr>
        <w:spacing w:after="0" w:line="240" w:lineRule="auto"/>
      </w:pPr>
      <w:r>
        <w:separator/>
      </w:r>
    </w:p>
  </w:endnote>
  <w:endnote w:type="continuationSeparator" w:id="0">
    <w:p w14:paraId="4574868F" w14:textId="77777777" w:rsidR="005E57CE" w:rsidRDefault="005E57CE" w:rsidP="0068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5FCE" w14:textId="77777777" w:rsidR="00686C26" w:rsidRDefault="00686C26" w:rsidP="00686C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76004" w14:textId="77777777" w:rsidR="00686C26" w:rsidRDefault="00686C26" w:rsidP="00686C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1C5EE" w14:textId="77777777" w:rsidR="00686C26" w:rsidRDefault="00686C26" w:rsidP="00686C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3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BB6581" w14:textId="77777777" w:rsidR="00686C26" w:rsidRDefault="00686C26" w:rsidP="00686C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74409" w14:textId="77777777" w:rsidR="005E57CE" w:rsidRDefault="005E57CE" w:rsidP="00686C26">
      <w:pPr>
        <w:spacing w:after="0" w:line="240" w:lineRule="auto"/>
      </w:pPr>
      <w:r>
        <w:separator/>
      </w:r>
    </w:p>
  </w:footnote>
  <w:footnote w:type="continuationSeparator" w:id="0">
    <w:p w14:paraId="2F3B9BDA" w14:textId="77777777" w:rsidR="005E57CE" w:rsidRDefault="005E57CE" w:rsidP="0068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B09"/>
    <w:multiLevelType w:val="hybridMultilevel"/>
    <w:tmpl w:val="EFC2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E50A05"/>
    <w:multiLevelType w:val="hybridMultilevel"/>
    <w:tmpl w:val="1722F0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EB4B6A"/>
    <w:multiLevelType w:val="hybridMultilevel"/>
    <w:tmpl w:val="A76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711058"/>
    <w:multiLevelType w:val="hybridMultilevel"/>
    <w:tmpl w:val="51A2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22CC1"/>
    <w:multiLevelType w:val="hybridMultilevel"/>
    <w:tmpl w:val="4D566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3"/>
    <w:rsid w:val="00104D09"/>
    <w:rsid w:val="00141ADC"/>
    <w:rsid w:val="001E5680"/>
    <w:rsid w:val="003C52D6"/>
    <w:rsid w:val="003F295D"/>
    <w:rsid w:val="00515155"/>
    <w:rsid w:val="005A299F"/>
    <w:rsid w:val="005E57CE"/>
    <w:rsid w:val="005E5B11"/>
    <w:rsid w:val="005F3BED"/>
    <w:rsid w:val="00686C26"/>
    <w:rsid w:val="006927FF"/>
    <w:rsid w:val="006E1F24"/>
    <w:rsid w:val="00780373"/>
    <w:rsid w:val="007861D4"/>
    <w:rsid w:val="008717A3"/>
    <w:rsid w:val="008C677E"/>
    <w:rsid w:val="008E3305"/>
    <w:rsid w:val="009065EC"/>
    <w:rsid w:val="00917A9B"/>
    <w:rsid w:val="009262BD"/>
    <w:rsid w:val="00991309"/>
    <w:rsid w:val="00B23872"/>
    <w:rsid w:val="00B4512C"/>
    <w:rsid w:val="00BC463E"/>
    <w:rsid w:val="00C675A3"/>
    <w:rsid w:val="00CC730A"/>
    <w:rsid w:val="00CD74BF"/>
    <w:rsid w:val="00E25469"/>
    <w:rsid w:val="00E44268"/>
    <w:rsid w:val="00E8190A"/>
    <w:rsid w:val="00EC4D4B"/>
    <w:rsid w:val="00F03D5F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C5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A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9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6C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C26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86C26"/>
  </w:style>
  <w:style w:type="paragraph" w:styleId="Header">
    <w:name w:val="header"/>
    <w:basedOn w:val="Normal"/>
    <w:link w:val="HeaderChar"/>
    <w:uiPriority w:val="99"/>
    <w:unhideWhenUsed/>
    <w:rsid w:val="00686C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C26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A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9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6C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C26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86C26"/>
  </w:style>
  <w:style w:type="paragraph" w:styleId="Header">
    <w:name w:val="header"/>
    <w:basedOn w:val="Normal"/>
    <w:link w:val="HeaderChar"/>
    <w:uiPriority w:val="99"/>
    <w:unhideWhenUsed/>
    <w:rsid w:val="00686C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C2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NALOXONE PROTOCOL</vt:lpstr>
    </vt:vector>
  </TitlesOfParts>
  <Company>URI - CELS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NALOXONE PROTOCOL</dc:title>
  <dc:creator>Kelly</dc:creator>
  <cp:lastModifiedBy>maya</cp:lastModifiedBy>
  <cp:revision>2</cp:revision>
  <cp:lastPrinted>2011-06-21T17:24:00Z</cp:lastPrinted>
  <dcterms:created xsi:type="dcterms:W3CDTF">2013-03-02T21:34:00Z</dcterms:created>
  <dcterms:modified xsi:type="dcterms:W3CDTF">2013-03-02T21:34:00Z</dcterms:modified>
</cp:coreProperties>
</file>